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B8318">
      <w:pPr>
        <w:rPr>
          <w:rFonts w:ascii="Times New Roman" w:hAnsi="Times New Roman" w:eastAsia="宋体" w:cs="Times New Roman"/>
          <w:b/>
          <w:bCs/>
          <w:color w:val="333333"/>
          <w:sz w:val="20"/>
          <w:szCs w:val="20"/>
          <w:shd w:val="clear" w:color="auto" w:fill="FFFFFF"/>
        </w:rPr>
      </w:pPr>
      <w:r>
        <w:rPr>
          <w:rFonts w:ascii="Times New Roman" w:hAnsi="Times New Roman" w:eastAsia="宋体" w:cs="Times New Roman"/>
          <w:b/>
          <w:bCs/>
          <w:color w:val="333333"/>
          <w:sz w:val="20"/>
          <w:szCs w:val="20"/>
          <w:shd w:val="clear" w:color="auto" w:fill="FFFFFF"/>
        </w:rPr>
        <w:t>附件1</w:t>
      </w:r>
    </w:p>
    <w:p w14:paraId="72614691">
      <w:pPr>
        <w:spacing w:after="312" w:afterLines="100"/>
        <w:jc w:val="center"/>
        <w:rPr>
          <w:rFonts w:hint="eastAsia" w:ascii="黑体" w:hAnsi="黑体" w:eastAsia="黑体" w:cs="sans-serif"/>
          <w:b/>
          <w:bCs/>
          <w:color w:val="333333"/>
          <w:sz w:val="28"/>
          <w:szCs w:val="28"/>
          <w:shd w:val="clear" w:color="auto" w:fill="FFFFFF"/>
        </w:rPr>
      </w:pPr>
      <w:r>
        <w:rPr>
          <w:rFonts w:ascii="黑体" w:hAnsi="黑体" w:eastAsia="黑体" w:cs="sans-serif"/>
          <w:b/>
          <w:bCs/>
          <w:color w:val="333333"/>
          <w:sz w:val="28"/>
          <w:szCs w:val="28"/>
          <w:shd w:val="clear" w:color="auto" w:fill="FFFFFF"/>
        </w:rPr>
        <w:t>中国药科大学“创新中药”赛道暨附属</w:t>
      </w:r>
      <w:r>
        <w:rPr>
          <w:rFonts w:hint="eastAsia" w:ascii="黑体" w:hAnsi="黑体" w:eastAsia="黑体" w:cs="sans-serif"/>
          <w:b/>
          <w:bCs/>
          <w:color w:val="333333"/>
          <w:sz w:val="28"/>
          <w:szCs w:val="28"/>
          <w:shd w:val="clear" w:color="auto" w:fill="FFFFFF"/>
        </w:rPr>
        <w:t>江宁</w:t>
      </w:r>
      <w:r>
        <w:rPr>
          <w:rFonts w:ascii="黑体" w:hAnsi="黑体" w:eastAsia="黑体" w:cs="sans-serif"/>
          <w:b/>
          <w:bCs/>
          <w:color w:val="333333"/>
          <w:sz w:val="28"/>
          <w:szCs w:val="28"/>
          <w:shd w:val="clear" w:color="auto" w:fill="FFFFFF"/>
        </w:rPr>
        <w:t>中医院</w:t>
      </w:r>
      <w:r>
        <w:rPr>
          <w:rFonts w:hint="eastAsia" w:ascii="黑体" w:hAnsi="黑体" w:eastAsia="黑体" w:cs="sans-serif"/>
          <w:b/>
          <w:bCs/>
          <w:color w:val="333333"/>
          <w:sz w:val="28"/>
          <w:szCs w:val="28"/>
          <w:shd w:val="clear" w:color="auto" w:fill="FFFFFF"/>
        </w:rPr>
        <w:t>“有组织科研”联合攻关项目</w:t>
      </w:r>
    </w:p>
    <w:p w14:paraId="654F7BCC">
      <w:pPr>
        <w:spacing w:after="156" w:afterLines="50"/>
        <w:rPr>
          <w:rFonts w:hint="eastAsia" w:ascii="sans-serif" w:hAnsi="sans-serif" w:cs="sans-serif"/>
          <w:b/>
          <w:bCs/>
          <w:color w:val="333333"/>
          <w:szCs w:val="21"/>
          <w:shd w:val="clear" w:color="auto" w:fill="FFFFFF"/>
        </w:rPr>
      </w:pPr>
      <w:r>
        <w:rPr>
          <w:rFonts w:hint="eastAsia" w:ascii="sans-serif" w:hAnsi="sans-serif" w:cs="sans-serif"/>
          <w:b/>
          <w:bCs/>
          <w:color w:val="333333"/>
          <w:szCs w:val="21"/>
          <w:shd w:val="clear" w:color="auto" w:fill="FFFFFF"/>
        </w:rPr>
        <w:t>一、</w:t>
      </w:r>
      <w:r>
        <w:rPr>
          <w:rFonts w:ascii="sans-serif" w:hAnsi="sans-serif" w:cs="sans-serif"/>
          <w:b/>
          <w:bCs/>
          <w:color w:val="333333"/>
          <w:szCs w:val="21"/>
          <w:shd w:val="clear" w:color="auto" w:fill="FFFFFF"/>
        </w:rPr>
        <w:t>中药复方（经方）与特色技术研究专项</w:t>
      </w:r>
    </w:p>
    <w:tbl>
      <w:tblPr>
        <w:tblStyle w:val="2"/>
        <w:tblW w:w="13414" w:type="dxa"/>
        <w:jc w:val="center"/>
        <w:tblLayout w:type="autofit"/>
        <w:tblCellMar>
          <w:top w:w="15" w:type="dxa"/>
          <w:left w:w="15" w:type="dxa"/>
          <w:bottom w:w="15" w:type="dxa"/>
          <w:right w:w="15" w:type="dxa"/>
        </w:tblCellMar>
      </w:tblPr>
      <w:tblGrid>
        <w:gridCol w:w="786"/>
        <w:gridCol w:w="4124"/>
        <w:gridCol w:w="8504"/>
      </w:tblGrid>
      <w:tr w14:paraId="2DA68E31">
        <w:tblPrEx>
          <w:tblCellMar>
            <w:top w:w="15" w:type="dxa"/>
            <w:left w:w="15" w:type="dxa"/>
            <w:bottom w:w="15" w:type="dxa"/>
            <w:right w:w="15" w:type="dxa"/>
          </w:tblCellMar>
        </w:tblPrEx>
        <w:trPr>
          <w:trHeight w:val="454" w:hRule="atLeast"/>
          <w:jc w:val="center"/>
        </w:trPr>
        <w:tc>
          <w:tcPr>
            <w:tcW w:w="786" w:type="dxa"/>
            <w:tcBorders>
              <w:top w:val="single" w:color="000000" w:sz="4" w:space="0"/>
              <w:left w:val="single" w:color="000000" w:sz="4" w:space="0"/>
              <w:bottom w:val="single" w:color="000000" w:sz="4" w:space="0"/>
              <w:right w:val="single" w:color="000000" w:sz="4" w:space="0"/>
            </w:tcBorders>
            <w:noWrap/>
            <w:vAlign w:val="center"/>
          </w:tcPr>
          <w:p w14:paraId="52BE4E62">
            <w:pPr>
              <w:jc w:val="center"/>
              <w:rPr>
                <w:rFonts w:hint="eastAsia" w:ascii="sans-serif" w:hAnsi="sans-serif" w:cs="sans-serif"/>
                <w:b/>
                <w:bCs/>
                <w:color w:val="333333"/>
                <w:sz w:val="20"/>
                <w:szCs w:val="20"/>
                <w:shd w:val="clear" w:color="auto" w:fill="FFFFFF"/>
              </w:rPr>
            </w:pPr>
            <w:r>
              <w:rPr>
                <w:rFonts w:ascii="sans-serif" w:hAnsi="sans-serif" w:cs="sans-serif"/>
                <w:b/>
                <w:bCs/>
                <w:color w:val="333333"/>
                <w:sz w:val="20"/>
                <w:szCs w:val="20"/>
                <w:shd w:val="clear" w:color="auto" w:fill="FFFFFF"/>
              </w:rPr>
              <w:t>序号</w:t>
            </w:r>
          </w:p>
        </w:tc>
        <w:tc>
          <w:tcPr>
            <w:tcW w:w="4124" w:type="dxa"/>
            <w:tcBorders>
              <w:top w:val="single" w:color="000000" w:sz="4" w:space="0"/>
              <w:left w:val="single" w:color="000000" w:sz="4" w:space="0"/>
              <w:bottom w:val="single" w:color="000000" w:sz="4" w:space="0"/>
              <w:right w:val="single" w:color="000000" w:sz="4" w:space="0"/>
            </w:tcBorders>
            <w:noWrap/>
            <w:vAlign w:val="center"/>
          </w:tcPr>
          <w:p w14:paraId="34337B30">
            <w:pPr>
              <w:jc w:val="center"/>
              <w:rPr>
                <w:rFonts w:hint="eastAsia" w:ascii="sans-serif" w:hAnsi="sans-serif" w:cs="sans-serif"/>
                <w:b/>
                <w:bCs/>
                <w:color w:val="333333"/>
                <w:sz w:val="20"/>
                <w:szCs w:val="20"/>
                <w:shd w:val="clear" w:color="auto" w:fill="FFFFFF"/>
              </w:rPr>
            </w:pPr>
            <w:r>
              <w:rPr>
                <w:rFonts w:ascii="sans-serif" w:hAnsi="sans-serif" w:cs="sans-serif"/>
                <w:b/>
                <w:bCs/>
                <w:color w:val="333333"/>
                <w:sz w:val="20"/>
                <w:szCs w:val="20"/>
                <w:shd w:val="clear" w:color="auto" w:fill="FFFFFF"/>
              </w:rPr>
              <w:t>项目</w:t>
            </w:r>
          </w:p>
        </w:tc>
        <w:tc>
          <w:tcPr>
            <w:tcW w:w="8504" w:type="dxa"/>
            <w:tcBorders>
              <w:top w:val="single" w:color="000000" w:sz="4" w:space="0"/>
              <w:left w:val="single" w:color="000000" w:sz="4" w:space="0"/>
              <w:bottom w:val="single" w:color="000000" w:sz="4" w:space="0"/>
              <w:right w:val="single" w:color="000000" w:sz="4" w:space="0"/>
            </w:tcBorders>
            <w:noWrap/>
            <w:vAlign w:val="center"/>
          </w:tcPr>
          <w:p w14:paraId="3609B662">
            <w:pPr>
              <w:jc w:val="center"/>
              <w:rPr>
                <w:rFonts w:hint="eastAsia" w:ascii="sans-serif" w:hAnsi="sans-serif" w:cs="sans-serif"/>
                <w:b/>
                <w:bCs/>
                <w:color w:val="333333"/>
                <w:sz w:val="20"/>
                <w:szCs w:val="20"/>
                <w:shd w:val="clear" w:color="auto" w:fill="FFFFFF"/>
              </w:rPr>
            </w:pPr>
            <w:r>
              <w:rPr>
                <w:rFonts w:ascii="sans-serif" w:hAnsi="sans-serif" w:cs="sans-serif"/>
                <w:b/>
                <w:bCs/>
                <w:color w:val="333333"/>
                <w:sz w:val="20"/>
                <w:szCs w:val="20"/>
                <w:shd w:val="clear" w:color="auto" w:fill="FFFFFF"/>
              </w:rPr>
              <w:t>研究内容</w:t>
            </w:r>
          </w:p>
        </w:tc>
      </w:tr>
      <w:tr w14:paraId="34CBE126">
        <w:tblPrEx>
          <w:tblCellMar>
            <w:top w:w="15" w:type="dxa"/>
            <w:left w:w="15" w:type="dxa"/>
            <w:bottom w:w="15" w:type="dxa"/>
            <w:right w:w="15" w:type="dxa"/>
          </w:tblCellMar>
        </w:tblPrEx>
        <w:trPr>
          <w:trHeight w:val="1304"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69A9B74E">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1</w:t>
            </w:r>
          </w:p>
        </w:tc>
        <w:tc>
          <w:tcPr>
            <w:tcW w:w="4124" w:type="dxa"/>
            <w:tcBorders>
              <w:top w:val="single" w:color="000000" w:sz="4" w:space="0"/>
              <w:left w:val="single" w:color="000000" w:sz="4" w:space="0"/>
              <w:bottom w:val="single" w:color="000000" w:sz="4" w:space="0"/>
            </w:tcBorders>
            <w:vAlign w:val="center"/>
          </w:tcPr>
          <w:p w14:paraId="63EC3479">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祛风宣痹方调控STING/HIF-1α介导的H3K18乳酸化改善哮喘气道重塑的机制研究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77A5F599">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祛风宣痹方通过靶向STING/HIF-1α通路抑制糖酵解重编程，降低H3K18乳酸化水平，从而阻断ASMCs异常增殖并逆转哮喘气道重塑。本项目拟构建哮喘小鼠、肺切片离体培养与ASMCs细胞模型，运用多重荧光免疫组化、CUT&amp;Tag靶向图谱、基因敲除及过表达等技术验证这一分子机制，为哮喘防治提供新靶点和理论依据。</w:t>
            </w:r>
          </w:p>
        </w:tc>
      </w:tr>
      <w:tr w14:paraId="650EE77C">
        <w:tblPrEx>
          <w:tblCellMar>
            <w:top w:w="15" w:type="dxa"/>
            <w:left w:w="15" w:type="dxa"/>
            <w:bottom w:w="15" w:type="dxa"/>
            <w:right w:w="15" w:type="dxa"/>
          </w:tblCellMar>
        </w:tblPrEx>
        <w:trPr>
          <w:trHeight w:val="1984"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0C893E4F">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2</w:t>
            </w:r>
          </w:p>
        </w:tc>
        <w:tc>
          <w:tcPr>
            <w:tcW w:w="4124" w:type="dxa"/>
            <w:tcBorders>
              <w:top w:val="single" w:color="000000" w:sz="4" w:space="0"/>
              <w:left w:val="single" w:color="000000" w:sz="4" w:space="0"/>
              <w:bottom w:val="single" w:color="000000" w:sz="4" w:space="0"/>
            </w:tcBorders>
            <w:vAlign w:val="center"/>
          </w:tcPr>
          <w:p w14:paraId="02665284">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益气活血方调控脂肪-心肌crosstalk改善射血分数保留型心衰的作用研究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2A7852D8">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本研究围绕脂肪因子及益气活血方干预代谢性HFpEF展开，首先建立HFpEF小鼠模型，明确脂肪因子与心功能损害及心肌重构的相关性，并通过重组蛋白干预和脂肪组织特异性过表达验证其对心功能的改善作用；聚焦心肌线粒体功能障碍，系统评价脂肪因子对线粒体结构、呼吸功能及膜电位的影响，结合信号阻断实验阐明其调控线粒体自噬的分子机制。在此基础上，探究益气活血方对心外膜脂肪组织脂肪因子表达与分泌的调控作用，揭示其通过激活线粒体自噬通路改善HFpEF的机制。最后，鉴定益气活血方入血成分，结合细胞模型筛选促脂肪因子分泌的关键活性物质。</w:t>
            </w:r>
          </w:p>
        </w:tc>
      </w:tr>
      <w:tr w14:paraId="4685D1EB">
        <w:tblPrEx>
          <w:tblCellMar>
            <w:top w:w="15" w:type="dxa"/>
            <w:left w:w="15" w:type="dxa"/>
            <w:bottom w:w="15" w:type="dxa"/>
            <w:right w:w="15" w:type="dxa"/>
          </w:tblCellMar>
        </w:tblPrEx>
        <w:trPr>
          <w:trHeight w:val="964"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07D367AD">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3</w:t>
            </w:r>
          </w:p>
        </w:tc>
        <w:tc>
          <w:tcPr>
            <w:tcW w:w="4124" w:type="dxa"/>
            <w:tcBorders>
              <w:top w:val="single" w:color="000000" w:sz="4" w:space="0"/>
              <w:left w:val="single" w:color="000000" w:sz="4" w:space="0"/>
              <w:bottom w:val="single" w:color="000000" w:sz="4" w:space="0"/>
            </w:tcBorders>
            <w:vAlign w:val="center"/>
          </w:tcPr>
          <w:p w14:paraId="461BD2FC">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基于Ezrin K263乳酸化修饰探讨血必净注射液调控RhoA/ROCK通路改善脓毒症相关急性肾损伤的机制研究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3479FA58">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明确血必净注射液对 SA-AKI 肾损伤及“糖酵解-乳酸”代谢重构的干预效应。                                    阐明血必净注射液调控 RhoA/ROCK/Ezrin 信号轴抑制 Ezrin K263 乳酸化的分子机制。</w:t>
            </w:r>
            <w:r>
              <w:rPr>
                <w:rFonts w:cs="sans-serif" w:asciiTheme="minorEastAsia" w:hAnsiTheme="minorEastAsia"/>
                <w:color w:val="333333"/>
                <w:sz w:val="20"/>
                <w:szCs w:val="20"/>
                <w:shd w:val="clear" w:color="auto" w:fill="FFFFFF"/>
              </w:rPr>
              <w:br w:type="textWrapping"/>
            </w:r>
            <w:r>
              <w:rPr>
                <w:rFonts w:cs="sans-serif" w:asciiTheme="minorEastAsia" w:hAnsiTheme="minorEastAsia"/>
                <w:color w:val="333333"/>
                <w:sz w:val="20"/>
                <w:szCs w:val="20"/>
                <w:shd w:val="clear" w:color="auto" w:fill="FFFFFF"/>
              </w:rPr>
              <w:t>揭示抑制 Ezrin K263 乳酸化在血必净重塑肾小管屏障功能中的核心贡献与科学内涵。</w:t>
            </w:r>
          </w:p>
        </w:tc>
      </w:tr>
      <w:tr w14:paraId="15ABF812">
        <w:tblPrEx>
          <w:tblCellMar>
            <w:top w:w="15" w:type="dxa"/>
            <w:left w:w="15" w:type="dxa"/>
            <w:bottom w:w="15" w:type="dxa"/>
            <w:right w:w="15" w:type="dxa"/>
          </w:tblCellMar>
        </w:tblPrEx>
        <w:trPr>
          <w:trHeight w:val="1587"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16D2F6F2">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4</w:t>
            </w:r>
          </w:p>
        </w:tc>
        <w:tc>
          <w:tcPr>
            <w:tcW w:w="4124" w:type="dxa"/>
            <w:tcBorders>
              <w:top w:val="single" w:color="000000" w:sz="4" w:space="0"/>
              <w:left w:val="single" w:color="000000" w:sz="4" w:space="0"/>
              <w:bottom w:val="single" w:color="000000" w:sz="4" w:space="0"/>
            </w:tcBorders>
            <w:vAlign w:val="center"/>
          </w:tcPr>
          <w:p w14:paraId="76C7E3E0">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基于重塑免疫微环境逆转铁死亡抵抗探究玄丹散结汤优化方“活血消癥止痛”治疗子宫腺肌病的临床疗效与机制</w:t>
            </w:r>
          </w:p>
        </w:tc>
        <w:tc>
          <w:tcPr>
            <w:tcW w:w="8504" w:type="dxa"/>
            <w:tcBorders>
              <w:top w:val="single" w:color="000000" w:sz="4" w:space="0"/>
              <w:left w:val="single" w:color="000000" w:sz="4" w:space="0"/>
              <w:bottom w:val="single" w:color="000000" w:sz="4" w:space="0"/>
              <w:right w:val="single" w:color="000000" w:sz="4" w:space="0"/>
            </w:tcBorders>
            <w:vAlign w:val="center"/>
          </w:tcPr>
          <w:p w14:paraId="6D7DFEFC">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玄丹散结汤是临床验证有效的“活血消癥止痛”经验方，针对 AM 痛经特点进一步精简组方形成“玄丹散结汤优化方”。拟通过临床部分开展随机对照试验（RCT），评价优化方改善 AM 痛经的疗效，并临床样本检测患者外周血/经血中 IL-33 及铁死亡相关标记物；验证优化方通过抑制微环境巨噬细胞旁分泌 IL-33，阻断间质细胞 ST2/SLC7A11 通路，从而逆转其“铁死亡抵抗”，促进病灶清除并减少致痛介质释放。</w:t>
            </w:r>
          </w:p>
        </w:tc>
      </w:tr>
      <w:tr w14:paraId="6F5CF16A">
        <w:tblPrEx>
          <w:tblCellMar>
            <w:top w:w="15" w:type="dxa"/>
            <w:left w:w="15" w:type="dxa"/>
            <w:bottom w:w="15" w:type="dxa"/>
            <w:right w:w="15" w:type="dxa"/>
          </w:tblCellMar>
        </w:tblPrEx>
        <w:trPr>
          <w:trHeight w:val="1984"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01587B06">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5</w:t>
            </w:r>
          </w:p>
        </w:tc>
        <w:tc>
          <w:tcPr>
            <w:tcW w:w="4124" w:type="dxa"/>
            <w:tcBorders>
              <w:top w:val="single" w:color="000000" w:sz="4" w:space="0"/>
              <w:left w:val="single" w:color="000000" w:sz="4" w:space="0"/>
              <w:bottom w:val="single" w:color="000000" w:sz="4" w:space="0"/>
            </w:tcBorders>
            <w:vAlign w:val="center"/>
          </w:tcPr>
          <w:p w14:paraId="1753E664">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基于cGAS-STING信号通路的龙苍止痒洗剂治疗湿热下注型肛周湿疹的药效物质基础与作用机制研究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08BA5509">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本项目以cGAS-STING通路为核心，采用UPLC-qTOF-MS技术全面解析复方化学成分，获取特征活性分子；构建病证结合湿热下注型肛周湿疹动物模型，整体评价复方及特征活性分子干预湿热炎症的整体药效；围绕cGAS-STING通路上下游关键分子开展验证实验，阐明复方药效分子抑制该通路过度激活的分子机制。本研究旨在系统揭示龙苍止痒洗剂治疗湿热下注型肛周湿疹的药效物质基础与天然免疫调控机制，为该院内制剂质量标准提升、新药转化及湿热相关炎症病证的中医药基础研究提供实验依据与理论支撑。</w:t>
            </w:r>
          </w:p>
        </w:tc>
      </w:tr>
      <w:tr w14:paraId="2AAD7173">
        <w:tblPrEx>
          <w:tblCellMar>
            <w:top w:w="15" w:type="dxa"/>
            <w:left w:w="15" w:type="dxa"/>
            <w:bottom w:w="15" w:type="dxa"/>
            <w:right w:w="15" w:type="dxa"/>
          </w:tblCellMar>
        </w:tblPrEx>
        <w:trPr>
          <w:trHeight w:val="1020"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5BA663B8">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6</w:t>
            </w:r>
          </w:p>
        </w:tc>
        <w:tc>
          <w:tcPr>
            <w:tcW w:w="4124" w:type="dxa"/>
            <w:tcBorders>
              <w:top w:val="single" w:color="000000" w:sz="4" w:space="0"/>
              <w:left w:val="single" w:color="000000" w:sz="4" w:space="0"/>
              <w:bottom w:val="single" w:color="000000" w:sz="4" w:space="0"/>
            </w:tcBorders>
            <w:vAlign w:val="center"/>
          </w:tcPr>
          <w:p w14:paraId="26C65224">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基于FMEA模式的中药导泻方联合复方聚乙二醇电解质散在老年患者结肠镜检查肠道准备中的最佳方案构建及效果观察</w:t>
            </w:r>
          </w:p>
        </w:tc>
        <w:tc>
          <w:tcPr>
            <w:tcW w:w="8504" w:type="dxa"/>
            <w:tcBorders>
              <w:top w:val="single" w:color="000000" w:sz="4" w:space="0"/>
              <w:left w:val="single" w:color="000000" w:sz="4" w:space="0"/>
              <w:bottom w:val="single" w:color="000000" w:sz="4" w:space="0"/>
              <w:right w:val="single" w:color="000000" w:sz="4" w:space="0"/>
            </w:tcBorders>
            <w:vAlign w:val="center"/>
          </w:tcPr>
          <w:p w14:paraId="2149E39B">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本课题将中药导泄方作为干预重点联合口服缓泻剂构建老年患者结肠镜肠道准备优化方案。借助FMEA模式梳理肠道准备全过程风险点，完善中药灌肠联合西药清肠的标准化实施流程。通过临床应用评价方案有效性与安全性，为老年消化内镜肠道准备提供中西医结合新思路。</w:t>
            </w:r>
          </w:p>
        </w:tc>
      </w:tr>
      <w:tr w14:paraId="0B060A47">
        <w:tblPrEx>
          <w:tblCellMar>
            <w:top w:w="15" w:type="dxa"/>
            <w:left w:w="15" w:type="dxa"/>
            <w:bottom w:w="15" w:type="dxa"/>
            <w:right w:w="15" w:type="dxa"/>
          </w:tblCellMar>
        </w:tblPrEx>
        <w:trPr>
          <w:trHeight w:val="737"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5AE60ED5">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7</w:t>
            </w:r>
          </w:p>
        </w:tc>
        <w:tc>
          <w:tcPr>
            <w:tcW w:w="4124" w:type="dxa"/>
            <w:tcBorders>
              <w:top w:val="single" w:color="000000" w:sz="4" w:space="0"/>
              <w:left w:val="single" w:color="000000" w:sz="4" w:space="0"/>
              <w:bottom w:val="single" w:color="000000" w:sz="4" w:space="0"/>
            </w:tcBorders>
            <w:vAlign w:val="center"/>
          </w:tcPr>
          <w:p w14:paraId="4D592DCB">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基于热点经方对照的肺炎咳嗽加减方药效机制研究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713EA327">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建立大鼠咳嗽模型，设置实验及对照组，通过观察血清、肺组织及行为学差异，研究该方在痰热闭肺型肺炎的机制及优势。</w:t>
            </w:r>
          </w:p>
        </w:tc>
      </w:tr>
      <w:tr w14:paraId="65BD7E0E">
        <w:tblPrEx>
          <w:tblCellMar>
            <w:top w:w="15" w:type="dxa"/>
            <w:left w:w="15" w:type="dxa"/>
            <w:bottom w:w="15" w:type="dxa"/>
            <w:right w:w="15" w:type="dxa"/>
          </w:tblCellMar>
        </w:tblPrEx>
        <w:trPr>
          <w:trHeight w:val="1701"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01C50A0F">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8</w:t>
            </w:r>
          </w:p>
        </w:tc>
        <w:tc>
          <w:tcPr>
            <w:tcW w:w="4124" w:type="dxa"/>
            <w:tcBorders>
              <w:top w:val="single" w:color="000000" w:sz="4" w:space="0"/>
              <w:left w:val="single" w:color="000000" w:sz="4" w:space="0"/>
              <w:bottom w:val="single" w:color="000000" w:sz="4" w:space="0"/>
            </w:tcBorders>
            <w:vAlign w:val="center"/>
          </w:tcPr>
          <w:p w14:paraId="769BDC8F">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基于“调气-通络-固本”三位一体的八卦火龙罐联合黄芪汤干预老年功能型便秘的临床研究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5469465F">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本课题基于“调气</w:t>
            </w:r>
            <w:r>
              <w:rPr>
                <w:rFonts w:cs="sans-serif" w:asciiTheme="minorEastAsia" w:hAnsiTheme="minorEastAsia"/>
                <w:color w:val="333333"/>
                <w:sz w:val="20"/>
                <w:szCs w:val="20"/>
                <w:shd w:val="clear" w:color="auto" w:fill="FFFFFF"/>
              </w:rPr>
              <w:noBreakHyphen/>
            </w:r>
            <w:r>
              <w:rPr>
                <w:rFonts w:cs="sans-serif" w:asciiTheme="minorEastAsia" w:hAnsiTheme="minorEastAsia"/>
                <w:color w:val="333333"/>
                <w:sz w:val="20"/>
                <w:szCs w:val="20"/>
                <w:shd w:val="clear" w:color="auto" w:fill="FFFFFF"/>
              </w:rPr>
              <w:t>通络</w:t>
            </w:r>
            <w:r>
              <w:rPr>
                <w:rFonts w:cs="sans-serif" w:asciiTheme="minorEastAsia" w:hAnsiTheme="minorEastAsia"/>
                <w:color w:val="333333"/>
                <w:sz w:val="20"/>
                <w:szCs w:val="20"/>
                <w:shd w:val="clear" w:color="auto" w:fill="FFFFFF"/>
              </w:rPr>
              <w:noBreakHyphen/>
            </w:r>
            <w:r>
              <w:rPr>
                <w:rFonts w:cs="sans-serif" w:asciiTheme="minorEastAsia" w:hAnsiTheme="minorEastAsia"/>
                <w:color w:val="333333"/>
                <w:sz w:val="20"/>
                <w:szCs w:val="20"/>
                <w:shd w:val="clear" w:color="auto" w:fill="FFFFFF"/>
              </w:rPr>
              <w:t>固本”三位一体理论，开展八卦火龙罐联合黄芪汤干预老年功能性便秘的临床研究。研究选取康复科老年功能性便秘患者，在基础护理之上，实施八卦火龙罐外治配合黄芪汤内服的联合干预，规范整套干预操作方案。通过观察患者便秘症状积分、排便相关指标及中医证候评分，对比分析干预前后的临床改善效果。探究该内外合治方案对老年功能性便秘的临床价值，为老年便秘的中医护理提供可借鉴的实践依据。</w:t>
            </w:r>
          </w:p>
        </w:tc>
      </w:tr>
      <w:tr w14:paraId="489FA02F">
        <w:tblPrEx>
          <w:tblCellMar>
            <w:top w:w="15" w:type="dxa"/>
            <w:left w:w="15" w:type="dxa"/>
            <w:bottom w:w="15" w:type="dxa"/>
            <w:right w:w="15" w:type="dxa"/>
          </w:tblCellMar>
        </w:tblPrEx>
        <w:trPr>
          <w:trHeight w:val="1701"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3199CD3B">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9</w:t>
            </w:r>
          </w:p>
        </w:tc>
        <w:tc>
          <w:tcPr>
            <w:tcW w:w="4124" w:type="dxa"/>
            <w:tcBorders>
              <w:top w:val="single" w:color="000000" w:sz="4" w:space="0"/>
              <w:left w:val="single" w:color="000000" w:sz="4" w:space="0"/>
              <w:bottom w:val="single" w:color="000000" w:sz="4" w:space="0"/>
            </w:tcBorders>
            <w:vAlign w:val="center"/>
          </w:tcPr>
          <w:p w14:paraId="1B6AD054">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基于核酸适配体探针空间解析肿瘤的唾液酸化重塑探究中药黄芪扶正汤的作用机制</w:t>
            </w:r>
          </w:p>
        </w:tc>
        <w:tc>
          <w:tcPr>
            <w:tcW w:w="8504" w:type="dxa"/>
            <w:tcBorders>
              <w:top w:val="single" w:color="000000" w:sz="4" w:space="0"/>
              <w:left w:val="single" w:color="000000" w:sz="4" w:space="0"/>
              <w:bottom w:val="single" w:color="000000" w:sz="4" w:space="0"/>
              <w:right w:val="single" w:color="000000" w:sz="4" w:space="0"/>
            </w:tcBorders>
            <w:vAlign w:val="center"/>
          </w:tcPr>
          <w:p w14:paraId="6BC6E72D">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本项目聚焦于肿瘤微环境中蛋白糖链唾液酸化的空间异质性与动态演变，首先构建新型可逆型唾液酸化适配体探针，突破传统技术瓶颈，系统绘制结直肠癌（尤其是CMS4难治型）进展中唾液酸化的时空图谱并阐明其动态演变规律；进而以此探针为工具，从体内空间重塑、体外细胞亚群靶向调控及功效物质发现三个层面，揭示中药黄芪扶正汤逆转异常唾液酸化、改善免疫抑制微环境的科学内涵与作用机制。</w:t>
            </w:r>
          </w:p>
        </w:tc>
      </w:tr>
      <w:tr w14:paraId="17D87BFA">
        <w:tblPrEx>
          <w:tblCellMar>
            <w:top w:w="15" w:type="dxa"/>
            <w:left w:w="15" w:type="dxa"/>
            <w:bottom w:w="15" w:type="dxa"/>
            <w:right w:w="15" w:type="dxa"/>
          </w:tblCellMar>
        </w:tblPrEx>
        <w:trPr>
          <w:trHeight w:val="2268"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2ED10836">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10</w:t>
            </w:r>
          </w:p>
        </w:tc>
        <w:tc>
          <w:tcPr>
            <w:tcW w:w="4124" w:type="dxa"/>
            <w:tcBorders>
              <w:top w:val="single" w:color="000000" w:sz="4" w:space="0"/>
              <w:left w:val="single" w:color="000000" w:sz="4" w:space="0"/>
              <w:bottom w:val="single" w:color="000000" w:sz="4" w:space="0"/>
            </w:tcBorders>
            <w:vAlign w:val="center"/>
          </w:tcPr>
          <w:p w14:paraId="19425DCB">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基于“筋骨并重”理论与单细胞多组学解析通痹汤治疗肝肾亏虚型腰椎管狭窄症的药效物质基础及免疫调控机制</w:t>
            </w:r>
          </w:p>
        </w:tc>
        <w:tc>
          <w:tcPr>
            <w:tcW w:w="8504" w:type="dxa"/>
            <w:tcBorders>
              <w:top w:val="single" w:color="000000" w:sz="4" w:space="0"/>
              <w:left w:val="single" w:color="000000" w:sz="4" w:space="0"/>
              <w:bottom w:val="single" w:color="000000" w:sz="4" w:space="0"/>
              <w:right w:val="single" w:color="000000" w:sz="4" w:space="0"/>
            </w:tcBorders>
            <w:vAlign w:val="center"/>
          </w:tcPr>
          <w:p w14:paraId="2214ED18">
            <w:pPr>
              <w:jc w:val="left"/>
              <w:rPr>
                <w:rFonts w:hint="eastAsia" w:cs="sans-serif" w:asciiTheme="minorEastAsia" w:hAnsiTheme="minorEastAsia"/>
                <w:color w:val="333333"/>
                <w:sz w:val="20"/>
                <w:szCs w:val="20"/>
                <w:shd w:val="clear" w:color="auto" w:fill="FFFFFF"/>
              </w:rPr>
            </w:pPr>
            <w:r>
              <w:rPr>
                <w:rFonts w:cs="sans-serif" w:asciiTheme="minorEastAsia" w:hAnsiTheme="minorEastAsia"/>
                <w:color w:val="333333"/>
                <w:sz w:val="20"/>
                <w:szCs w:val="20"/>
                <w:shd w:val="clear" w:color="auto" w:fill="FFFFFF"/>
              </w:rPr>
              <w:t>本项目拟基于“筋骨并重、扶正祛邪”理论，整合中药成分、药物靶点、疾病基因、蛋白质互作及药物扰动转录组等多源数据，构建通痹汤“药味—成分—靶点—疾病模块”网络，采用网络邻近性、疾病模块覆盖和细胞类型互补等方法筛选核心协同成分。进一步整合腰椎管狭窄症及相关退行性脊柱疾病的单细胞和空间转录组数据，鉴定关键免疫细胞、退变组织细胞及异常配体—受体通讯轴，并通过药物转录特征逆转分析预测通痹汤的主要作用细胞和调控通路。最后，采用髓核细胞、巨噬细胞及共培养模型，验证核心成分组合对炎症反应、细胞衰老、细胞外基质降解和神经敏化的调控作用。</w:t>
            </w:r>
          </w:p>
        </w:tc>
      </w:tr>
    </w:tbl>
    <w:p w14:paraId="10E78284">
      <w:pPr>
        <w:rPr>
          <w:rFonts w:hint="eastAsia" w:ascii="sans-serif" w:hAnsi="sans-serif" w:cs="sans-serif"/>
          <w:color w:val="333333"/>
          <w:sz w:val="20"/>
          <w:szCs w:val="20"/>
          <w:shd w:val="clear" w:color="auto" w:fill="FFFFFF"/>
        </w:rPr>
      </w:pPr>
    </w:p>
    <w:p w14:paraId="7CA4053D">
      <w:pPr>
        <w:spacing w:after="156" w:afterLines="50"/>
        <w:rPr>
          <w:rFonts w:hint="eastAsia" w:ascii="sans-serif" w:hAnsi="sans-serif" w:cs="sans-serif"/>
          <w:b/>
          <w:bCs/>
          <w:color w:val="333333"/>
          <w:szCs w:val="21"/>
          <w:shd w:val="clear" w:color="auto" w:fill="FFFFFF"/>
        </w:rPr>
      </w:pPr>
      <w:r>
        <w:rPr>
          <w:rFonts w:hint="eastAsia" w:ascii="sans-serif" w:hAnsi="sans-serif" w:cs="sans-serif"/>
          <w:b/>
          <w:bCs/>
          <w:color w:val="333333"/>
          <w:szCs w:val="21"/>
          <w:shd w:val="clear" w:color="auto" w:fill="FFFFFF"/>
        </w:rPr>
        <w:t>二、</w:t>
      </w:r>
      <w:r>
        <w:rPr>
          <w:rFonts w:ascii="sans-serif" w:hAnsi="sans-serif" w:cs="sans-serif"/>
          <w:b/>
          <w:bCs/>
          <w:color w:val="333333"/>
          <w:szCs w:val="21"/>
          <w:shd w:val="clear" w:color="auto" w:fill="FFFFFF"/>
        </w:rPr>
        <w:t>青年人才项目专项孵育计划</w:t>
      </w:r>
    </w:p>
    <w:tbl>
      <w:tblPr>
        <w:tblStyle w:val="2"/>
        <w:tblW w:w="13414" w:type="dxa"/>
        <w:jc w:val="center"/>
        <w:tblLayout w:type="autofit"/>
        <w:tblCellMar>
          <w:top w:w="15" w:type="dxa"/>
          <w:left w:w="15" w:type="dxa"/>
          <w:bottom w:w="15" w:type="dxa"/>
          <w:right w:w="15" w:type="dxa"/>
        </w:tblCellMar>
      </w:tblPr>
      <w:tblGrid>
        <w:gridCol w:w="786"/>
        <w:gridCol w:w="4124"/>
        <w:gridCol w:w="8504"/>
      </w:tblGrid>
      <w:tr w14:paraId="5E15F883">
        <w:tblPrEx>
          <w:tblCellMar>
            <w:top w:w="15" w:type="dxa"/>
            <w:left w:w="15" w:type="dxa"/>
            <w:bottom w:w="15" w:type="dxa"/>
            <w:right w:w="15" w:type="dxa"/>
          </w:tblCellMar>
        </w:tblPrEx>
        <w:trPr>
          <w:trHeight w:val="454" w:hRule="atLeast"/>
          <w:jc w:val="center"/>
        </w:trPr>
        <w:tc>
          <w:tcPr>
            <w:tcW w:w="786" w:type="dxa"/>
            <w:tcBorders>
              <w:top w:val="single" w:color="000000" w:sz="4" w:space="0"/>
              <w:left w:val="single" w:color="000000" w:sz="4" w:space="0"/>
              <w:bottom w:val="single" w:color="000000" w:sz="4" w:space="0"/>
              <w:right w:val="single" w:color="000000" w:sz="4" w:space="0"/>
            </w:tcBorders>
            <w:noWrap/>
            <w:vAlign w:val="center"/>
          </w:tcPr>
          <w:p w14:paraId="5138D4EA">
            <w:pPr>
              <w:jc w:val="center"/>
              <w:rPr>
                <w:rFonts w:hint="eastAsia" w:ascii="sans-serif" w:hAnsi="sans-serif" w:cs="sans-serif"/>
                <w:b/>
                <w:bCs/>
                <w:color w:val="333333"/>
                <w:sz w:val="20"/>
                <w:szCs w:val="20"/>
                <w:shd w:val="clear" w:color="auto" w:fill="FFFFFF"/>
              </w:rPr>
            </w:pPr>
            <w:r>
              <w:rPr>
                <w:rFonts w:ascii="sans-serif" w:hAnsi="sans-serif" w:cs="sans-serif"/>
                <w:b/>
                <w:bCs/>
                <w:color w:val="333333"/>
                <w:sz w:val="20"/>
                <w:szCs w:val="20"/>
                <w:shd w:val="clear" w:color="auto" w:fill="FFFFFF"/>
              </w:rPr>
              <w:t>序号</w:t>
            </w:r>
          </w:p>
        </w:tc>
        <w:tc>
          <w:tcPr>
            <w:tcW w:w="4124" w:type="dxa"/>
            <w:tcBorders>
              <w:top w:val="single" w:color="000000" w:sz="4" w:space="0"/>
              <w:left w:val="single" w:color="000000" w:sz="4" w:space="0"/>
              <w:bottom w:val="single" w:color="000000" w:sz="4" w:space="0"/>
              <w:right w:val="single" w:color="000000" w:sz="4" w:space="0"/>
            </w:tcBorders>
            <w:noWrap/>
            <w:vAlign w:val="center"/>
          </w:tcPr>
          <w:p w14:paraId="7E262FFE">
            <w:pPr>
              <w:jc w:val="center"/>
              <w:rPr>
                <w:rFonts w:hint="eastAsia" w:ascii="sans-serif" w:hAnsi="sans-serif" w:cs="sans-serif"/>
                <w:b/>
                <w:bCs/>
                <w:color w:val="333333"/>
                <w:sz w:val="20"/>
                <w:szCs w:val="20"/>
                <w:shd w:val="clear" w:color="auto" w:fill="FFFFFF"/>
              </w:rPr>
            </w:pPr>
            <w:bookmarkStart w:id="0" w:name="_GoBack"/>
            <w:bookmarkEnd w:id="0"/>
            <w:r>
              <w:rPr>
                <w:rFonts w:ascii="sans-serif" w:hAnsi="sans-serif" w:cs="sans-serif"/>
                <w:b/>
                <w:bCs/>
                <w:color w:val="333333"/>
                <w:sz w:val="20"/>
                <w:szCs w:val="20"/>
                <w:shd w:val="clear" w:color="auto" w:fill="FFFFFF"/>
              </w:rPr>
              <w:t>项目</w:t>
            </w:r>
          </w:p>
        </w:tc>
        <w:tc>
          <w:tcPr>
            <w:tcW w:w="8504" w:type="dxa"/>
            <w:tcBorders>
              <w:top w:val="single" w:color="000000" w:sz="4" w:space="0"/>
              <w:left w:val="single" w:color="000000" w:sz="4" w:space="0"/>
              <w:bottom w:val="single" w:color="000000" w:sz="4" w:space="0"/>
              <w:right w:val="single" w:color="000000" w:sz="4" w:space="0"/>
            </w:tcBorders>
            <w:noWrap/>
            <w:vAlign w:val="center"/>
          </w:tcPr>
          <w:p w14:paraId="1A0C1F35">
            <w:pPr>
              <w:jc w:val="center"/>
              <w:rPr>
                <w:rFonts w:hint="eastAsia" w:ascii="sans-serif" w:hAnsi="sans-serif" w:cs="sans-serif"/>
                <w:b/>
                <w:bCs/>
                <w:color w:val="333333"/>
                <w:sz w:val="20"/>
                <w:szCs w:val="20"/>
                <w:shd w:val="clear" w:color="auto" w:fill="FFFFFF"/>
              </w:rPr>
            </w:pPr>
            <w:r>
              <w:rPr>
                <w:rFonts w:ascii="sans-serif" w:hAnsi="sans-serif" w:cs="sans-serif"/>
                <w:b/>
                <w:bCs/>
                <w:color w:val="333333"/>
                <w:sz w:val="20"/>
                <w:szCs w:val="20"/>
                <w:shd w:val="clear" w:color="auto" w:fill="FFFFFF"/>
              </w:rPr>
              <w:t>研究内容</w:t>
            </w:r>
          </w:p>
        </w:tc>
      </w:tr>
      <w:tr w14:paraId="63655C3E">
        <w:tblPrEx>
          <w:tblCellMar>
            <w:top w:w="15" w:type="dxa"/>
            <w:left w:w="15" w:type="dxa"/>
            <w:bottom w:w="15" w:type="dxa"/>
            <w:right w:w="15" w:type="dxa"/>
          </w:tblCellMar>
        </w:tblPrEx>
        <w:trPr>
          <w:trHeight w:val="1417"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0BEBA5A4">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1</w:t>
            </w:r>
          </w:p>
        </w:tc>
        <w:tc>
          <w:tcPr>
            <w:tcW w:w="4124" w:type="dxa"/>
            <w:tcBorders>
              <w:top w:val="single" w:color="000000" w:sz="4" w:space="0"/>
              <w:left w:val="single" w:color="000000" w:sz="4" w:space="0"/>
              <w:bottom w:val="single" w:color="000000" w:sz="4" w:space="0"/>
            </w:tcBorders>
            <w:vAlign w:val="center"/>
          </w:tcPr>
          <w:p w14:paraId="6F8C07AB">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昆葵保肾方通过 PLK2-TFEB轴调控脂滴自噬改善糖尿病肾病的机制研究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6A0F2E05">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本项目拟以db/db小鼠及高糖高脂诱导的HK-2细胞为研究对象，通过昆葵保肾方干预，并结合PLK2和TFEB基因敲低、过表达及阻断–挽救实验，系统阐明PLK2–TFEB轴对TFEB核转位、自噬–溶酶体功能、脂滴自噬及肾小管脂质稳态的调控作用；进一步评价线粒体功能及肾小管纤维化等相关变化，明确昆葵保肾方改善DKD肾小管脂质代谢紊乱的作用机制。</w:t>
            </w:r>
          </w:p>
        </w:tc>
      </w:tr>
      <w:tr w14:paraId="17F1FBD2">
        <w:tblPrEx>
          <w:tblCellMar>
            <w:top w:w="15" w:type="dxa"/>
            <w:left w:w="15" w:type="dxa"/>
            <w:bottom w:w="15" w:type="dxa"/>
            <w:right w:w="15" w:type="dxa"/>
          </w:tblCellMar>
        </w:tblPrEx>
        <w:trPr>
          <w:trHeight w:val="1701"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42909BFA">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2</w:t>
            </w:r>
          </w:p>
        </w:tc>
        <w:tc>
          <w:tcPr>
            <w:tcW w:w="4124" w:type="dxa"/>
            <w:tcBorders>
              <w:top w:val="single" w:color="000000" w:sz="4" w:space="0"/>
              <w:left w:val="single" w:color="000000" w:sz="4" w:space="0"/>
              <w:bottom w:val="single" w:color="000000" w:sz="4" w:space="0"/>
            </w:tcBorders>
            <w:vAlign w:val="center"/>
          </w:tcPr>
          <w:p w14:paraId="1EEFABF3">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基于RAGE通路探讨茵陈五苓汤抑制炎症-程序性坏死治疗脓毒症相关急性肝损伤的机制研究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6BA444D8">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课题拟开展双中心随机对照临床研究，纳入70例SILI患者，比较茵陈五苓汤联合常规治疗与常规治疗的疗效差异，以28天死亡率及肝功能恢复时间为主要评价指标；同时构建CLP小鼠模型，以RAGE激动剂进行干预验证，从肝组织病理、炎症因子、RAGE信号轴及程序性坏死标志物等多层面揭示其分子机制。本研究将中医辨证论治理念与SILI分子病理机制有机融合，为经方在急危重症中的应用提供科学依据。</w:t>
            </w:r>
          </w:p>
        </w:tc>
      </w:tr>
      <w:tr w14:paraId="76818682">
        <w:tblPrEx>
          <w:tblCellMar>
            <w:top w:w="15" w:type="dxa"/>
            <w:left w:w="15" w:type="dxa"/>
            <w:bottom w:w="15" w:type="dxa"/>
            <w:right w:w="15" w:type="dxa"/>
          </w:tblCellMar>
        </w:tblPrEx>
        <w:trPr>
          <w:trHeight w:val="1134"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395669C0">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3</w:t>
            </w:r>
          </w:p>
        </w:tc>
        <w:tc>
          <w:tcPr>
            <w:tcW w:w="4124" w:type="dxa"/>
            <w:tcBorders>
              <w:top w:val="single" w:color="000000" w:sz="4" w:space="0"/>
              <w:left w:val="single" w:color="000000" w:sz="4" w:space="0"/>
              <w:bottom w:val="single" w:color="000000" w:sz="4" w:space="0"/>
            </w:tcBorders>
            <w:vAlign w:val="center"/>
          </w:tcPr>
          <w:p w14:paraId="4EE33EE6">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基于子午流注理论下穴位贴敷联合MMC干预脾虚湿阻型单纯性肥胖的研究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7EF0C9FA">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在子午流注理论下，将入组国家标准化代谢疾病管理中心的脾虚湿阻型肥胖患者进行减脂方穴位贴敷治疗，观察常规组、非择时组、择时组的临床应用效果及生物钟基因表达，探讨分子时间生物学层面为“择时增效”假说提供直接证据。</w:t>
            </w:r>
          </w:p>
        </w:tc>
      </w:tr>
      <w:tr w14:paraId="1E43ACC7">
        <w:tblPrEx>
          <w:tblCellMar>
            <w:top w:w="15" w:type="dxa"/>
            <w:left w:w="15" w:type="dxa"/>
            <w:bottom w:w="15" w:type="dxa"/>
            <w:right w:w="15" w:type="dxa"/>
          </w:tblCellMar>
        </w:tblPrEx>
        <w:trPr>
          <w:trHeight w:val="2041"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621231D2">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4</w:t>
            </w:r>
          </w:p>
        </w:tc>
        <w:tc>
          <w:tcPr>
            <w:tcW w:w="4124" w:type="dxa"/>
            <w:tcBorders>
              <w:top w:val="single" w:color="000000" w:sz="4" w:space="0"/>
              <w:left w:val="single" w:color="000000" w:sz="4" w:space="0"/>
              <w:bottom w:val="single" w:color="000000" w:sz="4" w:space="0"/>
            </w:tcBorders>
            <w:vAlign w:val="center"/>
          </w:tcPr>
          <w:p w14:paraId="0C907DDF">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基于NLRP3炎症小体通路探讨精灵颗粒延缓血管衰老的作用机制</w:t>
            </w:r>
          </w:p>
        </w:tc>
        <w:tc>
          <w:tcPr>
            <w:tcW w:w="8504" w:type="dxa"/>
            <w:tcBorders>
              <w:top w:val="single" w:color="000000" w:sz="4" w:space="0"/>
              <w:left w:val="single" w:color="000000" w:sz="4" w:space="0"/>
              <w:bottom w:val="single" w:color="000000" w:sz="4" w:space="0"/>
              <w:right w:val="single" w:color="000000" w:sz="4" w:space="0"/>
            </w:tcBorders>
            <w:vAlign w:val="center"/>
          </w:tcPr>
          <w:p w14:paraId="1E397B80">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拟采用自然衰老小鼠模型，通过血管超声、组织病理学、细胞衰老染色等技术，评价精灵颗粒对血管功能和结构的改善作用。其次，采用16S rRNA高通量测序和液相色谱-质谱联用（LC-MS/MS）技术，分析肠道菌群群落结构和血浆TMAO水平的变化，探寻精灵颗粒调控的关键菌群及代谢谱（阐明上游机制）。再次，检测主动脉组织NLRP3、caspase-1、IL-1β等关键分子的表达，明确精灵颗粒对下游信号通路的抑制作用（阐明下游机制）。最后，通过抗生素清除菌群和粪菌移植（FMT）实验，构建“因-果”链条，直接验证肠道菌群在精灵颗粒药效中的核心地位（验证因果）。</w:t>
            </w:r>
          </w:p>
        </w:tc>
      </w:tr>
      <w:tr w14:paraId="707FBABD">
        <w:tblPrEx>
          <w:tblCellMar>
            <w:top w:w="15" w:type="dxa"/>
            <w:left w:w="15" w:type="dxa"/>
            <w:bottom w:w="15" w:type="dxa"/>
            <w:right w:w="15" w:type="dxa"/>
          </w:tblCellMar>
        </w:tblPrEx>
        <w:trPr>
          <w:trHeight w:val="1701"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25480884">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5</w:t>
            </w:r>
          </w:p>
        </w:tc>
        <w:tc>
          <w:tcPr>
            <w:tcW w:w="4124" w:type="dxa"/>
            <w:tcBorders>
              <w:top w:val="single" w:color="000000" w:sz="4" w:space="0"/>
              <w:left w:val="single" w:color="000000" w:sz="4" w:space="0"/>
              <w:bottom w:val="single" w:color="000000" w:sz="4" w:space="0"/>
            </w:tcBorders>
            <w:vAlign w:val="center"/>
          </w:tcPr>
          <w:p w14:paraId="34689BB6">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基于NF-κB/NLPR3信号通路探讨清化瘀热方调控施万细胞焦亡治疗糖尿病周围神经病变的机制研究</w:t>
            </w:r>
          </w:p>
        </w:tc>
        <w:tc>
          <w:tcPr>
            <w:tcW w:w="8504" w:type="dxa"/>
            <w:tcBorders>
              <w:top w:val="single" w:color="000000" w:sz="4" w:space="0"/>
              <w:left w:val="single" w:color="000000" w:sz="4" w:space="0"/>
              <w:bottom w:val="single" w:color="000000" w:sz="4" w:space="0"/>
              <w:right w:val="single" w:color="000000" w:sz="4" w:space="0"/>
            </w:tcBorders>
            <w:vAlign w:val="center"/>
          </w:tcPr>
          <w:p w14:paraId="2C2A5EB3">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临床研究结果表明，清化瘀热方联合西药治疗可以改善血糖、血脂水平、改善糖化血红蛋白水平、提高肌电图神经传导速度，使中医证候积分和 Toronto积分明显下降。糖尿病高糖及代谢炎症环境促进NF-κB信号激活和NLRP3炎症小体组装，诱导Caspase-1依赖的GSDMD裂解及施万细胞焦亡，破坏施万细胞对轴突和髓鞘的支持功能。清化瘀热方可抑制该过程，减少施万细胞焦亡，维持髓鞘结构和神经传导功能，从而改善糖尿病周围神经病变。</w:t>
            </w:r>
          </w:p>
        </w:tc>
      </w:tr>
      <w:tr w14:paraId="711A567D">
        <w:tblPrEx>
          <w:tblCellMar>
            <w:top w:w="15" w:type="dxa"/>
            <w:left w:w="15" w:type="dxa"/>
            <w:bottom w:w="15" w:type="dxa"/>
            <w:right w:w="15" w:type="dxa"/>
          </w:tblCellMar>
        </w:tblPrEx>
        <w:trPr>
          <w:trHeight w:val="1417" w:hRule="atLeast"/>
          <w:jc w:val="center"/>
        </w:trPr>
        <w:tc>
          <w:tcPr>
            <w:tcW w:w="786" w:type="dxa"/>
            <w:tcBorders>
              <w:top w:val="single" w:color="000000" w:sz="4" w:space="0"/>
              <w:left w:val="single" w:color="000000" w:sz="4" w:space="0"/>
              <w:bottom w:val="single" w:color="000000" w:sz="4" w:space="0"/>
              <w:right w:val="single" w:color="000000" w:sz="4" w:space="0"/>
            </w:tcBorders>
            <w:vAlign w:val="center"/>
          </w:tcPr>
          <w:p w14:paraId="6F2BC9F6">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6</w:t>
            </w:r>
          </w:p>
        </w:tc>
        <w:tc>
          <w:tcPr>
            <w:tcW w:w="4124" w:type="dxa"/>
            <w:tcBorders>
              <w:top w:val="single" w:color="000000" w:sz="4" w:space="0"/>
              <w:left w:val="single" w:color="000000" w:sz="4" w:space="0"/>
              <w:bottom w:val="single" w:color="000000" w:sz="4" w:space="0"/>
            </w:tcBorders>
            <w:vAlign w:val="center"/>
          </w:tcPr>
          <w:p w14:paraId="7466E8B8">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基于非靶向代谢组学与网络药理学探讨仙灵骨葆方丹参缓解补骨脂致肝损伤的配伍机制</w:t>
            </w:r>
          </w:p>
        </w:tc>
        <w:tc>
          <w:tcPr>
            <w:tcW w:w="8504" w:type="dxa"/>
            <w:tcBorders>
              <w:top w:val="single" w:color="000000" w:sz="4" w:space="0"/>
              <w:left w:val="single" w:color="000000" w:sz="4" w:space="0"/>
              <w:bottom w:val="single" w:color="000000" w:sz="4" w:space="0"/>
              <w:right w:val="single" w:color="000000" w:sz="4" w:space="0"/>
            </w:tcBorders>
            <w:vAlign w:val="center"/>
          </w:tcPr>
          <w:p w14:paraId="2AFAC312">
            <w:pPr>
              <w:jc w:val="left"/>
              <w:rPr>
                <w:rFonts w:ascii="Times New Roman" w:hAnsi="Times New Roman" w:cs="Times New Roman"/>
                <w:color w:val="333333"/>
                <w:sz w:val="20"/>
                <w:szCs w:val="20"/>
                <w:shd w:val="clear" w:color="auto" w:fill="FFFFFF"/>
              </w:rPr>
            </w:pPr>
            <w:r>
              <w:rPr>
                <w:rFonts w:ascii="Times New Roman" w:hAnsi="Times New Roman" w:cs="Times New Roman"/>
                <w:color w:val="000000"/>
                <w:sz w:val="20"/>
                <w:szCs w:val="20"/>
              </w:rPr>
              <w:t>采用动物模型，验证丹参对补骨脂所致肝损伤的改善效果，明确药对配伍减毒的整体药效，筛选肝组织差异代谢物，解析紊乱代谢通路；整合数据库开展网络药理学分析，筛选药对活性成分与肝损伤交集核心靶点，构建“成分—靶点—通路”网络，并通过分子对接验证成分与靶点结合活性；最后从蛋白、基因水平验证关键通路表达变化。</w:t>
            </w:r>
          </w:p>
        </w:tc>
      </w:tr>
    </w:tbl>
    <w:p w14:paraId="6BAFA325">
      <w:pPr>
        <w:rPr>
          <w:rFonts w:hint="eastAsia" w:ascii="sans-serif" w:hAnsi="sans-serif" w:cs="sans-serif"/>
          <w:color w:val="333333"/>
          <w:sz w:val="20"/>
          <w:szCs w:val="20"/>
          <w:shd w:val="clear" w:color="auto" w:fill="FFFFFF"/>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CD8"/>
    <w:rsid w:val="00004ABA"/>
    <w:rsid w:val="0023513F"/>
    <w:rsid w:val="002C43E7"/>
    <w:rsid w:val="005275A0"/>
    <w:rsid w:val="00614169"/>
    <w:rsid w:val="00751CD8"/>
    <w:rsid w:val="00C63880"/>
    <w:rsid w:val="00D60528"/>
    <w:rsid w:val="00DF3B2B"/>
    <w:rsid w:val="00E3323C"/>
    <w:rsid w:val="00F52720"/>
    <w:rsid w:val="20140D2A"/>
    <w:rsid w:val="208B7D31"/>
    <w:rsid w:val="2D7F444D"/>
    <w:rsid w:val="31A9266A"/>
    <w:rsid w:val="5FB6610B"/>
    <w:rsid w:val="71CA3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2350</Words>
  <Characters>2566</Characters>
  <Lines>27</Lines>
  <Paragraphs>7</Paragraphs>
  <TotalTime>14</TotalTime>
  <ScaleCrop>false</ScaleCrop>
  <LinksUpToDate>false</LinksUpToDate>
  <CharactersWithSpaces>2623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2025-01-10T08:45:00Z</dcterms:created>
  <dc:creator>Administrator</dc:creator>
  <cp:lastModifiedBy>封亮</cp:lastModifiedBy>
  <dcterms:modified xsi:type="dcterms:W3CDTF">2026-08-23T13:40:14Z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eyJoZGlkIjoiYWQzNzA1MWQ3NGZiM2IyNmVlZDhkZmViODAyZGM0YWEiLCJ1c2VySWQiOiI2NTU0MTkzMzQifQ==</vt:lpwstr>
  </property>
  <property fmtid="{D5CDD505-2E9C-101B-9397-08002B2CF9AE}" pid="4" name="ICV">
    <vt:lpwstr>82B8E82D043A4338984D9FD45054F406_13</vt:lpwstr>
  </property>
</Properties>
</file>